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66" w:rsidRDefault="00E3076A">
      <w:pPr>
        <w:spacing w:after="216" w:line="259" w:lineRule="auto"/>
        <w:ind w:right="6" w:firstLine="0"/>
        <w:jc w:val="center"/>
      </w:pPr>
      <w:bookmarkStart w:id="0" w:name="_GoBack"/>
      <w:bookmarkEnd w:id="0"/>
      <w:r>
        <w:rPr>
          <w:b/>
          <w:u w:val="single" w:color="000000"/>
        </w:rPr>
        <w:t>THE "POOR SINNERS" IN CALVIN’S  LAST WILL AND TESTAMENT</w:t>
      </w:r>
    </w:p>
    <w:p w:rsidR="00043B66" w:rsidRDefault="00E3076A">
      <w:pPr>
        <w:ind w:left="-15"/>
      </w:pPr>
      <w:r>
        <w:t xml:space="preserve">In life, Calvin himself wrote about predestination: "The human mind, when it hears this doctrine, cannot restrain its petulance, but boils and rages as if aroused by the sound of a trumpet." </w:t>
      </w:r>
      <w:r>
        <w:rPr>
          <w:i/>
        </w:rPr>
        <w:t xml:space="preserve">  Institutes </w:t>
      </w:r>
      <w:r>
        <w:t>III:23:1.   While dying, Calvin dictated and Chenelat then wrote down: "I confess to live and die in this faith which He has given me, inasmuch as I have no other hope or refuge than His predestination, upon which my entire salvation is ground</w:t>
      </w:r>
      <w:r>
        <w:t xml:space="preserve">ed....   I humbly beg Him to wash me and cleanse me with the blood of our great Redeemer as it was shed for </w:t>
      </w:r>
      <w:r>
        <w:rPr>
          <w:u w:val="single" w:color="000000"/>
        </w:rPr>
        <w:t>us</w:t>
      </w:r>
      <w:r>
        <w:t xml:space="preserve"> poor sinners, so that I, when I appear before His face, may bear His likeness."</w:t>
      </w:r>
    </w:p>
    <w:p w:rsidR="00043B66" w:rsidRDefault="00E3076A">
      <w:pPr>
        <w:ind w:left="-15"/>
      </w:pPr>
      <w:r>
        <w:t xml:space="preserve">There are at least two variant </w:t>
      </w:r>
      <w:r>
        <w:rPr>
          <w:u w:val="single" w:color="000000"/>
        </w:rPr>
        <w:t>copies</w:t>
      </w:r>
      <w:r>
        <w:t xml:space="preserve"> of Calvin’s Testament.   As</w:t>
      </w:r>
      <w:r>
        <w:t xml:space="preserve"> to the last-mentioned sentence, one copy reads as above, and the other reads "for </w:t>
      </w:r>
      <w:r>
        <w:rPr>
          <w:u w:val="single" w:color="000000"/>
        </w:rPr>
        <w:t>all</w:t>
      </w:r>
      <w:r>
        <w:t xml:space="preserve"> poor sinners" </w:t>
      </w:r>
      <w:r>
        <w:rPr>
          <w:i/>
        </w:rPr>
        <w:t xml:space="preserve">etc. </w:t>
      </w:r>
      <w:r>
        <w:t xml:space="preserve">  The question has been raised: Which of these copies agrees with the </w:t>
      </w:r>
      <w:r>
        <w:rPr>
          <w:u w:val="single" w:color="000000"/>
        </w:rPr>
        <w:t>original</w:t>
      </w:r>
      <w:r>
        <w:t>?   On this, we make the following observations.</w:t>
      </w:r>
    </w:p>
    <w:p w:rsidR="00043B66" w:rsidRDefault="00E3076A">
      <w:pPr>
        <w:numPr>
          <w:ilvl w:val="0"/>
          <w:numId w:val="1"/>
        </w:numPr>
      </w:pPr>
      <w:r>
        <w:t xml:space="preserve">What </w:t>
      </w:r>
      <w:r>
        <w:rPr>
          <w:u w:val="single" w:color="000000"/>
        </w:rPr>
        <w:t>Biblical inerranti</w:t>
      </w:r>
      <w:r>
        <w:rPr>
          <w:u w:val="single" w:color="000000"/>
        </w:rPr>
        <w:t>st</w:t>
      </w:r>
      <w:r>
        <w:t xml:space="preserve"> would ever insist that Calvin’s lawyer Pierre Chenelat even in the original (yet still-uninspired) Testament of the Reformer, </w:t>
      </w:r>
      <w:r>
        <w:rPr>
          <w:u w:val="single" w:color="000000"/>
        </w:rPr>
        <w:t>infallibly</w:t>
      </w:r>
      <w:r>
        <w:t xml:space="preserve"> wrote down absolutely all of the exact words which the then-bedridden and dying Calvin so painfully dictated -- or </w:t>
      </w:r>
      <w:r>
        <w:rPr>
          <w:u w:val="single" w:color="000000"/>
        </w:rPr>
        <w:t>m</w:t>
      </w:r>
      <w:r>
        <w:rPr>
          <w:u w:val="single" w:color="000000"/>
        </w:rPr>
        <w:t>eant</w:t>
      </w:r>
      <w:r>
        <w:t xml:space="preserve"> to dictate?</w:t>
      </w:r>
    </w:p>
    <w:p w:rsidR="00043B66" w:rsidRDefault="00E3076A">
      <w:pPr>
        <w:numPr>
          <w:ilvl w:val="0"/>
          <w:numId w:val="1"/>
        </w:numPr>
      </w:pPr>
      <w:r>
        <w:t xml:space="preserve">As regards the doctrine of the specific or limited </w:t>
      </w:r>
      <w:r>
        <w:rPr>
          <w:u w:val="single" w:color="000000"/>
        </w:rPr>
        <w:t>atonement</w:t>
      </w:r>
      <w:r>
        <w:t xml:space="preserve"> of Christ, it is irrelevant whether the dying Calvin actually dictated or meant to dictate either the words "</w:t>
      </w:r>
      <w:r>
        <w:rPr>
          <w:i/>
        </w:rPr>
        <w:t xml:space="preserve">pour </w:t>
      </w:r>
      <w:r>
        <w:rPr>
          <w:i/>
          <w:u w:val="single" w:color="000000"/>
        </w:rPr>
        <w:t>nous</w:t>
      </w:r>
      <w:r>
        <w:t>" or alternatively "</w:t>
      </w:r>
      <w:r>
        <w:rPr>
          <w:i/>
        </w:rPr>
        <w:t xml:space="preserve">pour </w:t>
      </w:r>
      <w:r>
        <w:rPr>
          <w:i/>
          <w:u w:val="single" w:color="000000"/>
        </w:rPr>
        <w:t>tous</w:t>
      </w:r>
      <w:r>
        <w:t xml:space="preserve">" </w:t>
      </w:r>
      <w:r>
        <w:rPr>
          <w:i/>
        </w:rPr>
        <w:t>--</w:t>
      </w:r>
      <w:r>
        <w:t xml:space="preserve">  in the statement that "th</w:t>
      </w:r>
      <w:r>
        <w:t xml:space="preserve">e blood of our great Redeemer as it was shed for </w:t>
      </w:r>
      <w:r>
        <w:rPr>
          <w:u w:val="single" w:color="000000"/>
        </w:rPr>
        <w:t>us</w:t>
      </w:r>
      <w:r>
        <w:t xml:space="preserve"> (</w:t>
      </w:r>
      <w:r>
        <w:rPr>
          <w:i/>
        </w:rPr>
        <w:t>nous</w:t>
      </w:r>
      <w:r>
        <w:t>)</w:t>
      </w:r>
      <w:r>
        <w:rPr>
          <w:i/>
        </w:rPr>
        <w:t xml:space="preserve"> </w:t>
      </w:r>
      <w:r>
        <w:t xml:space="preserve">poor sinners"; or alternatively "for </w:t>
      </w:r>
      <w:r>
        <w:rPr>
          <w:u w:val="single" w:color="000000"/>
        </w:rPr>
        <w:t>all</w:t>
      </w:r>
      <w:r>
        <w:t xml:space="preserve"> (</w:t>
      </w:r>
      <w:r>
        <w:rPr>
          <w:i/>
        </w:rPr>
        <w:t>tous</w:t>
      </w:r>
      <w:r>
        <w:t>)</w:t>
      </w:r>
      <w:r>
        <w:rPr>
          <w:i/>
        </w:rPr>
        <w:t xml:space="preserve"> </w:t>
      </w:r>
      <w:r>
        <w:t xml:space="preserve">poor sinners" </w:t>
      </w:r>
      <w:r>
        <w:rPr>
          <w:i/>
        </w:rPr>
        <w:t xml:space="preserve">etc. </w:t>
      </w:r>
      <w:r>
        <w:t xml:space="preserve">  For some sinners were never </w:t>
      </w:r>
      <w:r>
        <w:rPr>
          <w:u w:val="single" w:color="000000"/>
        </w:rPr>
        <w:t>human</w:t>
      </w:r>
      <w:r>
        <w:t>.   (See our last point below.)</w:t>
      </w:r>
    </w:p>
    <w:p w:rsidR="00043B66" w:rsidRDefault="00E3076A">
      <w:pPr>
        <w:numPr>
          <w:ilvl w:val="0"/>
          <w:numId w:val="1"/>
        </w:numPr>
      </w:pPr>
      <w:r>
        <w:t xml:space="preserve">In any case, the above words -- whether </w:t>
      </w:r>
      <w:r>
        <w:rPr>
          <w:i/>
        </w:rPr>
        <w:t xml:space="preserve">pour nous </w:t>
      </w:r>
      <w:r>
        <w:t xml:space="preserve">or </w:t>
      </w:r>
      <w:r>
        <w:rPr>
          <w:i/>
        </w:rPr>
        <w:t xml:space="preserve">pour tous </w:t>
      </w:r>
      <w:r>
        <w:t xml:space="preserve">-- still do not sustain the hypothetical universalism of Amyraldianism.   For even if the weak and dying Calvin had here actually dictated and meant to dictate "for </w:t>
      </w:r>
      <w:r>
        <w:rPr>
          <w:u w:val="single" w:color="000000"/>
        </w:rPr>
        <w:t>all</w:t>
      </w:r>
      <w:r>
        <w:t xml:space="preserve"> poor sinners" -- he was not here claiming that Christ shed His blood </w:t>
      </w:r>
      <w:r>
        <w:rPr>
          <w:u w:val="single" w:color="000000"/>
        </w:rPr>
        <w:t>only</w:t>
      </w:r>
      <w:r>
        <w:t xml:space="preserve"> unto </w:t>
      </w:r>
      <w:r>
        <w:rPr>
          <w:u w:val="single" w:color="000000"/>
        </w:rPr>
        <w:t>justific</w:t>
      </w:r>
      <w:r>
        <w:rPr>
          <w:u w:val="single" w:color="000000"/>
        </w:rPr>
        <w:t>ation</w:t>
      </w:r>
      <w:r>
        <w:t xml:space="preserve">.   Indeed, Calvin well knew that the shed blood of the </w:t>
      </w:r>
      <w:r>
        <w:rPr>
          <w:u w:val="single" w:color="000000"/>
        </w:rPr>
        <w:t>Saviour</w:t>
      </w:r>
      <w:r>
        <w:t xml:space="preserve"> secured also </w:t>
      </w:r>
      <w:r>
        <w:rPr>
          <w:u w:val="single" w:color="000000"/>
        </w:rPr>
        <w:t>non-justifying</w:t>
      </w:r>
      <w:r>
        <w:t xml:space="preserve"> by-products even for </w:t>
      </w:r>
      <w:r>
        <w:rPr>
          <w:u w:val="single" w:color="000000"/>
        </w:rPr>
        <w:t>reprobate</w:t>
      </w:r>
      <w:r>
        <w:t xml:space="preserve"> human beings.  See his comments on Gen. 3:15</w:t>
      </w:r>
      <w:r>
        <w:rPr>
          <w:i/>
        </w:rPr>
        <w:t>f</w:t>
      </w:r>
      <w:r>
        <w:t xml:space="preserve"> with 4:20 and Ps. 36:6 and I Tim. 2:3</w:t>
      </w:r>
      <w:r>
        <w:rPr>
          <w:i/>
        </w:rPr>
        <w:t>f</w:t>
      </w:r>
      <w:r>
        <w:t xml:space="preserve"> with 4:10 and II Pet. 2:1 </w:t>
      </w:r>
      <w:r>
        <w:rPr>
          <w:i/>
        </w:rPr>
        <w:t>etc.</w:t>
      </w:r>
    </w:p>
    <w:p w:rsidR="00043B66" w:rsidRDefault="00E3076A">
      <w:pPr>
        <w:numPr>
          <w:ilvl w:val="0"/>
          <w:numId w:val="1"/>
        </w:numPr>
      </w:pPr>
      <w:r>
        <w:t>Even to argu</w:t>
      </w:r>
      <w:r>
        <w:t xml:space="preserve">e that Christ’s blood does nothing else but </w:t>
      </w:r>
      <w:r>
        <w:rPr>
          <w:u w:val="single" w:color="000000"/>
        </w:rPr>
        <w:t>justify</w:t>
      </w:r>
      <w:r>
        <w:t xml:space="preserve">, will still not prove Amyraldian or </w:t>
      </w:r>
      <w:r>
        <w:rPr>
          <w:u w:val="single" w:color="000000"/>
        </w:rPr>
        <w:t>hypothetical</w:t>
      </w:r>
      <w:r>
        <w:t xml:space="preserve"> universalism.   For if Christ’s shed blood had indeed </w:t>
      </w:r>
      <w:r>
        <w:rPr>
          <w:u w:val="single" w:color="000000"/>
        </w:rPr>
        <w:t>justified</w:t>
      </w:r>
      <w:r>
        <w:t xml:space="preserve"> all men, then: (a) no man would stay lost; (b) the atonement would be </w:t>
      </w:r>
      <w:r>
        <w:rPr>
          <w:u w:val="single" w:color="000000"/>
        </w:rPr>
        <w:t>absolutely</w:t>
      </w:r>
      <w:r>
        <w:t xml:space="preserve"> universal; and (c) also the "perseverance of the saints" would largely mean the "perverseness of the ain’ts" alias the </w:t>
      </w:r>
      <w:r>
        <w:rPr>
          <w:u w:val="single" w:color="000000"/>
        </w:rPr>
        <w:t>advancement of Antinomians</w:t>
      </w:r>
      <w:r>
        <w:t>.</w:t>
      </w:r>
    </w:p>
    <w:p w:rsidR="00043B66" w:rsidRDefault="00E3076A">
      <w:pPr>
        <w:numPr>
          <w:ilvl w:val="0"/>
          <w:numId w:val="1"/>
        </w:numPr>
        <w:spacing w:after="719"/>
      </w:pPr>
      <w:r>
        <w:t xml:space="preserve">Also </w:t>
      </w:r>
      <w:r>
        <w:rPr>
          <w:u w:val="single" w:color="000000"/>
        </w:rPr>
        <w:t>Satan</w:t>
      </w:r>
      <w:r>
        <w:t xml:space="preserve"> and his </w:t>
      </w:r>
      <w:r>
        <w:rPr>
          <w:u w:val="single" w:color="000000"/>
        </w:rPr>
        <w:t>demons</w:t>
      </w:r>
      <w:r>
        <w:t xml:space="preserve"> are "</w:t>
      </w:r>
      <w:r>
        <w:rPr>
          <w:u w:val="single" w:color="000000"/>
        </w:rPr>
        <w:t>sinners</w:t>
      </w:r>
      <w:r>
        <w:t>."   They were and are even "poor sinners" -and indeed the very poores</w:t>
      </w:r>
      <w:r>
        <w:t xml:space="preserve">t of all sinners </w:t>
      </w:r>
      <w:r>
        <w:rPr>
          <w:u w:val="single" w:color="000000"/>
        </w:rPr>
        <w:t>hamartiologically</w:t>
      </w:r>
      <w:r>
        <w:t xml:space="preserve"> (John 8:44 and II Pet. 2:4 &amp; 2:12). Yet they are not "poor" </w:t>
      </w:r>
      <w:r>
        <w:rPr>
          <w:u w:val="single" w:color="000000"/>
        </w:rPr>
        <w:t>economically</w:t>
      </w:r>
      <w:r>
        <w:t xml:space="preserve"> (Matt. 4:8</w:t>
      </w:r>
      <w:r>
        <w:rPr>
          <w:i/>
        </w:rPr>
        <w:t>f</w:t>
      </w:r>
      <w:r>
        <w:t xml:space="preserve">); and they are certainly not just "poor" but indeed utterly and unrehabilitatively bankrupt </w:t>
      </w:r>
      <w:r>
        <w:rPr>
          <w:u w:val="single" w:color="000000"/>
        </w:rPr>
        <w:t>soteriologically</w:t>
      </w:r>
      <w:r>
        <w:t xml:space="preserve"> (Matt. 5:3).   For Christ i</w:t>
      </w:r>
      <w:r>
        <w:t xml:space="preserve">s the only Redeemer of God’s elect, and not of those whom God has reprobated from all eternity (Prov. 16:4 &amp; Rom. 9:22f &amp; I Pet. 2:8 &amp; Jude 4-6).   So, even if Satan and all his demons were to sign Arminian or even Amyraldian "decision cards for Jesus" -- </w:t>
      </w:r>
      <w:r>
        <w:t>all of them would still be damned forever (Matt. 25:41).</w:t>
      </w:r>
    </w:p>
    <w:p w:rsidR="00043B66" w:rsidRDefault="00E3076A">
      <w:pPr>
        <w:tabs>
          <w:tab w:val="center" w:pos="600"/>
          <w:tab w:val="center" w:pos="2681"/>
        </w:tabs>
        <w:spacing w:after="43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--</w:t>
      </w:r>
      <w:r>
        <w:tab/>
        <w:t>Rev. Professor Dr. Francis Nigel Lee,</w:t>
      </w:r>
    </w:p>
    <w:p w:rsidR="00043B66" w:rsidRDefault="00E3076A">
      <w:pPr>
        <w:spacing w:after="0" w:line="259" w:lineRule="auto"/>
        <w:ind w:right="5" w:firstLine="0"/>
        <w:jc w:val="center"/>
      </w:pPr>
      <w:r>
        <w:t>Queensland Presbyterian Theological Seminary,</w:t>
      </w:r>
    </w:p>
    <w:p w:rsidR="00043B66" w:rsidRDefault="00E3076A">
      <w:pPr>
        <w:spacing w:after="43"/>
        <w:ind w:left="-15" w:firstLine="0"/>
      </w:pPr>
      <w:r>
        <w:t xml:space="preserve">                                                            Brisbane, Australia.  </w:t>
      </w:r>
    </w:p>
    <w:p w:rsidR="00043B66" w:rsidRDefault="00E3076A">
      <w:pPr>
        <w:tabs>
          <w:tab w:val="center" w:pos="6119"/>
        </w:tabs>
        <w:ind w:left="-15" w:firstLine="0"/>
        <w:jc w:val="left"/>
      </w:pPr>
      <w:r>
        <w:t xml:space="preserve">                            </w:t>
      </w:r>
      <w:r>
        <w:t xml:space="preserve">   </w:t>
      </w:r>
      <w:r>
        <w:tab/>
        <w:t xml:space="preserve">                      September 1997.</w:t>
      </w:r>
    </w:p>
    <w:sectPr w:rsidR="00043B66">
      <w:pgSz w:w="11900" w:h="16840"/>
      <w:pgMar w:top="1440" w:right="1442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608E"/>
    <w:multiLevelType w:val="hybridMultilevel"/>
    <w:tmpl w:val="E2AED0C2"/>
    <w:lvl w:ilvl="0" w:tplc="2746FB4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4E23E">
      <w:start w:val="1"/>
      <w:numFmt w:val="lowerLetter"/>
      <w:lvlText w:val="%2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0417A">
      <w:start w:val="1"/>
      <w:numFmt w:val="lowerRoman"/>
      <w:lvlText w:val="%3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6B314">
      <w:start w:val="1"/>
      <w:numFmt w:val="decimal"/>
      <w:lvlText w:val="%4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66056">
      <w:start w:val="1"/>
      <w:numFmt w:val="lowerLetter"/>
      <w:lvlText w:val="%5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C80BE">
      <w:start w:val="1"/>
      <w:numFmt w:val="lowerRoman"/>
      <w:lvlText w:val="%6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2BC38">
      <w:start w:val="1"/>
      <w:numFmt w:val="decimal"/>
      <w:lvlText w:val="%7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68640">
      <w:start w:val="1"/>
      <w:numFmt w:val="lowerLetter"/>
      <w:lvlText w:val="%8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CB1FA">
      <w:start w:val="1"/>
      <w:numFmt w:val="lowerRoman"/>
      <w:lvlText w:val="%9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66"/>
    <w:rsid w:val="00043B66"/>
    <w:rsid w:val="00E3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0AF1DC7-8C42-43C8-917D-40C29EAF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5" w:line="216" w:lineRule="auto"/>
      <w:ind w:firstLine="51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4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MUHAMMAD </dc:title>
  <dc:subject/>
  <dc:creator>word</dc:creator>
  <cp:keywords/>
  <cp:lastModifiedBy>word</cp:lastModifiedBy>
  <cp:revision>2</cp:revision>
  <dcterms:created xsi:type="dcterms:W3CDTF">2022-03-22T09:47:00Z</dcterms:created>
  <dcterms:modified xsi:type="dcterms:W3CDTF">2022-03-22T09:47:00Z</dcterms:modified>
</cp:coreProperties>
</file>